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3951" w14:textId="77777777" w:rsidR="00706931" w:rsidRPr="00706931" w:rsidRDefault="00706931" w:rsidP="00706931">
      <w:pPr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706931">
        <w:rPr>
          <w:rFonts w:eastAsia="Times New Roman" w:cstheme="minorHAnsi"/>
          <w:b/>
          <w:bCs/>
          <w:color w:val="000000"/>
          <w:kern w:val="36"/>
        </w:rPr>
        <w:t>Регламент оказания услуг и ссылки на страницы описаний услуг</w:t>
      </w:r>
    </w:p>
    <w:p w14:paraId="06599259" w14:textId="77777777" w:rsidR="00706931" w:rsidRPr="00706931" w:rsidRDefault="00706931" w:rsidP="00706931">
      <w:pPr>
        <w:rPr>
          <w:rFonts w:eastAsia="Times New Roman" w:cstheme="minorHAnsi"/>
          <w:b/>
          <w:bCs/>
          <w:color w:val="494949"/>
          <w:sz w:val="16"/>
          <w:szCs w:val="16"/>
        </w:rPr>
      </w:pPr>
      <w:r w:rsidRPr="00706931">
        <w:rPr>
          <w:rFonts w:eastAsia="Times New Roman" w:cstheme="minorHAnsi"/>
          <w:b/>
          <w:bCs/>
          <w:color w:val="494949"/>
          <w:sz w:val="16"/>
          <w:szCs w:val="16"/>
        </w:rPr>
        <w:t>Дата документа: 01-11-2021</w:t>
      </w:r>
    </w:p>
    <w:tbl>
      <w:tblPr>
        <w:tblW w:w="11354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5045"/>
        <w:gridCol w:w="30"/>
        <w:gridCol w:w="4204"/>
        <w:gridCol w:w="110"/>
      </w:tblGrid>
      <w:tr w:rsidR="00706931" w:rsidRPr="00706931" w14:paraId="2A41608D" w14:textId="77777777" w:rsidTr="00706931">
        <w:trPr>
          <w:gridAfter w:val="1"/>
          <w:wAfter w:w="1819" w:type="dxa"/>
          <w:tblCellSpacing w:w="15" w:type="dxa"/>
        </w:trPr>
        <w:tc>
          <w:tcPr>
            <w:tcW w:w="696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5502378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Общие положения Регламента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E6D82D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1_Общие_положения_2019</w:t>
              </w:r>
            </w:hyperlink>
          </w:p>
        </w:tc>
      </w:tr>
      <w:tr w:rsidR="00706931" w:rsidRPr="00706931" w14:paraId="2838EF17" w14:textId="77777777" w:rsidTr="00706931">
        <w:trPr>
          <w:gridAfter w:val="1"/>
          <w:wAfter w:w="1819" w:type="dxa"/>
          <w:tblCellSpacing w:w="15" w:type="dxa"/>
        </w:trPr>
        <w:tc>
          <w:tcPr>
            <w:tcW w:w="696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921D10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Техническая спецификация, дополнительные условия по комплексной услуге доступа к Системе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15C97D1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6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3_Техническая_спецификация_2019</w:t>
              </w:r>
            </w:hyperlink>
          </w:p>
        </w:tc>
      </w:tr>
      <w:tr w:rsidR="00706931" w:rsidRPr="00706931" w14:paraId="45EADB51" w14:textId="77777777" w:rsidTr="00706931">
        <w:trPr>
          <w:gridAfter w:val="2"/>
          <w:wAfter w:w="4269" w:type="dxa"/>
          <w:tblCellSpacing w:w="15" w:type="dxa"/>
        </w:trPr>
        <w:tc>
          <w:tcPr>
            <w:tcW w:w="6995" w:type="dxa"/>
            <w:gridSpan w:val="3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2B3907BE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Таблица №1 Комплексная услуга по доступу к Системе</w:t>
            </w:r>
          </w:p>
        </w:tc>
      </w:tr>
      <w:tr w:rsidR="00706931" w:rsidRPr="00706931" w14:paraId="5E5AC3DB" w14:textId="77777777" w:rsidTr="00706931">
        <w:trPr>
          <w:tblCellSpacing w:w="15" w:type="dxa"/>
        </w:trPr>
        <w:tc>
          <w:tcPr>
            <w:tcW w:w="0" w:type="auto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5DEC7D5A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Номенклатура</w:t>
            </w:r>
          </w:p>
        </w:tc>
        <w:tc>
          <w:tcPr>
            <w:tcW w:w="5015" w:type="dxa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5491D81C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Описание</w:t>
            </w:r>
          </w:p>
        </w:tc>
        <w:tc>
          <w:tcPr>
            <w:tcW w:w="2450" w:type="dxa"/>
            <w:gridSpan w:val="2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7A1C9205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Регламент (файл, ссылка)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51AC094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45D822E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B189D72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7" w:history="1"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Адсервинг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базовый: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каунтеры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, видео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каунтеры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, видео XLM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A5D060A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101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Adserving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(старая C2004-1). Комплексная услуга по предоставлению доступа к программно-аппаратному комплексу AdRiver (далее — Система) для учета и/или управления объектами Системы по указанным типам кодов. Количество запросов к Системе*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DBD8F7D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8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2_101 Adserving_2019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C3690CB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6457E81A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257EEA9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Клики для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кликовых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ссылок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26B9BF8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104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Click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Клики для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кликовых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ссылок, в которых отсутствует показы или события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454B3303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 разработке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0F0E396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24C0D224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B701BF8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9" w:history="1"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AntiFraud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IVT (GIVT + SIVT) пиксели, баннеры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6EDA98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102-1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IVT+Adserving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Учет и/или управление объектами Системы по указанным типам кодов Системы с фильтрацией недействительного трафика по категориям </w:t>
            </w:r>
            <w:hyperlink r:id="rId10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GIVT и SIVT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68C5403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11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2_103-1 Viewability+GIVT+Adserving_2019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07FDFFD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900AE9C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44A71C4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12" w:history="1"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AntiFraud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IVT (GIVT + SIVT) видео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6FB3902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102-2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IVT_video+Adserving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Учет и/или управление объектами Системы по указанным типам кодов Системы с фильтрацией недействительного трафика по категориям </w:t>
            </w:r>
            <w:hyperlink r:id="rId13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GIVT и SIVT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EC6BC2B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14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2_103-1 Viewability+GIVT+Adserving_2019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92DB189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3D402B6D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A376858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15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Viewability пиксели, баннеры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AAAD15B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103-1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Viewability+IVT+Adserving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Учет и/или управление объектами Системы по указанным типам кодов с параметрами Viewability согласно стандартам IAB/ MRC, фильтрацией недействительного трафика по категориям GIVT и SIVT, определение фактического домена размещения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62E84A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16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2_103-1 Viewability+GIVT+Adserving_2019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1A3A00F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2448FCD3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1CED57A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17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Viewability видео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6E0A43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103-2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Viewability_video+IVT+Adserving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Учет и/или управление объектами Системы по указанным типам кодов с параметрами Viewability согласно стандартам IAB/MRC, по параметрам видео стандарта VAST: квартили, показы, клики,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timeline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+ OVV, наведения, звук, размеры плейера фильтрацией недействительного трафика по категориям GIVT и SIVT, определение фактического домена размещения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308348A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18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2_103-1 Viewability+GIVT+Adserving_2019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CD436D8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7B15DC33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F17FAE7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19" w:history="1"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Hosting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видео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60137FF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105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VideoTrafficHosting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номенклатура A2017-2).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Адсервинг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VAST/VPAID с хостингом видео до 10Мб. Учет запросов и управление, а также предоставление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видеобаннеров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стандарта VAST/VPAID для показа в сети Интернет с хостингом видео.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7CE27CD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20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2_105 VideoTrafficHosting_2019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AD9A82F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3C18AED3" w14:textId="77777777" w:rsidTr="00706931">
        <w:trPr>
          <w:tblCellSpacing w:w="15" w:type="dxa"/>
        </w:trPr>
        <w:tc>
          <w:tcPr>
            <w:tcW w:w="9445" w:type="dxa"/>
            <w:gridSpan w:val="4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10AD9B8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Таблица №2 Дополнительные услуги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F34150E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3B2193CE" w14:textId="77777777" w:rsidTr="00706931">
        <w:trPr>
          <w:tblCellSpacing w:w="15" w:type="dxa"/>
        </w:trPr>
        <w:tc>
          <w:tcPr>
            <w:tcW w:w="9445" w:type="dxa"/>
            <w:gridSpan w:val="4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19F7AE7E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РАБОТА С ДАННЫМИ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DEDE972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71A5FBE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2301410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Сбор и хранение в DMP медиаданных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97E759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106 MediaDataStorage.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Сбор и хранение в DMP AdRiver медиаданных для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риалтайм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использования (например, для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таргетирования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, выгрузки на сторонние сайты и системы, мост с GA)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37107A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21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23F728E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040AE4B7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9D7D1AC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Выгрузка логов разовая или регулярная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7936F33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107 LogsUpload.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Для разовой выгрузки –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масимальный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период выгрузки не более 3-х месяцев. Для регулярной – периодичность раз в сутки. Срок хранения выгруженных логов – 7 дней. Отчет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Excel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/CSV с нестандартными данными Системы, выгрузка логов по согласованному списку полей. Выгрузка может быть расширена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тафиком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по объекту SID (сайт Рекламодателя с добавкой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custom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=200 идентификатор пользователя в другой системе)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4E1DEED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22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D5F81FE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7B5081A2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0F4E24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23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Отчет по панели исследователя (выгрузка) шт.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D996E32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302 DataPanelUpload 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(старая C2016-1). Отчет по синхронизированным данным Системы и панели исследователя. Установка сбора данных по панели исследователя, настройка синхронизации данных – включены в услугу.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Перечень панелей: </w:t>
            </w:r>
            <w:hyperlink r:id="rId24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https://www.adriver.ru/agency/products/panel-</w:t>
              </w:r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lastRenderedPageBreak/>
                <w:t>integration/</w:t>
              </w:r>
            </w:hyperlink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. Регламент услуги: </w:t>
            </w:r>
            <w:hyperlink r:id="rId25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https://www.adriver.ru/agency/legal/services/sync/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42255B0A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lastRenderedPageBreak/>
              <w:t>На странице DMP файл с Регламентом </w:t>
            </w:r>
            <w:hyperlink r:id="rId26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E227789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7ED7CB53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A8A0CE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27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Выгрузка синхронизированных с другой системой кук: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медиадата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, 1st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party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-данные (старое название “Предоставление списка кук”)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D1DC6DE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301 DataUpload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C2016-2). Сбор списка кук по объекту/объектам Системы: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медиадата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(рекламные кампании), 1st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party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-данные (сайты) и предоставление его для скачивания на FTP или передачи в сторонние системы. Периодичность выгрузки ежедневно, ежемесячно. Расчет ежемесячно. Список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засинхронизированных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систем: </w:t>
            </w:r>
            <w:hyperlink r:id="rId28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http://adriver.ru/agency/legal/services/export/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A63216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29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804E526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BA89FD3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7A03E44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30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Выгрузка синхронизированных с другой системой кук аудиторные сегменты, LAL-модели, пользовательские сегменты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9818E26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301-2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DataUploadCustom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Сбор списка кук по формирующим правилам для объектов Системы: аудиторные сегменты, LAL-модели или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кастомные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сегменты и предоставление его для скачивания на FTP или передачи в сторонние системы. Периодичность выгрузки ежедневно, ежемесячно. Расчет ежемесячно. Список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засинхронизированных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систем </w:t>
            </w:r>
            <w:hyperlink r:id="rId31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http://adriver.ru/agency/legal/services/export/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A36FA4F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32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A2D6C82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4323A50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F08515F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33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Активация аудитории в сторонних системах для ремаркетинга: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медиадата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, 1st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party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-данные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D267CAF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303 DataActivate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А2016-9). Вызов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ремаркетингового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кода (пикселя) сторонней системы по интересующей Заказчика аудитории: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медиадата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(рекламные кампании), 1st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party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-данные (сайты). Расчет по кампании с активирующим пикселем </w:t>
            </w:r>
            <w:hyperlink r:id="rId34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https://www.adriver.ru/agency/legal/services/remarketing/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88A10E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35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3B65046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A156C18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5F3E15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36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Активация аудитории в сторонних системах для ремаркетинга: аудиторные сегменты, LAL-модели, пользовательские сегменты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81864A8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303-2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DataActivateCustom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Вызов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ремаркетингового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кода (пикселя) сторонней системы по интересующей Заказчика аудитории: аудиторные сегменты и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вцд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модели (модели с вероятностью целевого действия), LAL-модели,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кастомные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сегменты. Расчет по кампании с активирующим пикселем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ADA2E49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37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F2E9BA3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CCE0B2B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2E0B12F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Полный профиль аудитории по таксономии Soloway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0FA1119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304-1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ProfilingFull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Профилирование аудитории Полный профиль (все сегменты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куки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46EA85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38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43C6A7C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C9CC3AC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78F40DF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Сокращенный профиль аудитории по таксономии Soloway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DB8731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304-2ProfilingFractional.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Профилирование аудитории Неполный профиль (до пяти родительских категорий)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8242F8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39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7F3FC606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220C4399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50B821D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Профилированеи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аудитории по одному атрибуту по таксономии Soloway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58B6A3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304-3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ProfilingAttribute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Профилирование аудитории по Атрибутам (1 сегмент)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076144D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40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6CF5856B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2FA5BC08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4B8A0372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Динамическое профилирование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8B31578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305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DynamicProfiling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Динамическое профилирование.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Применятеся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для сайта Заказчика. Ежедневно в течение отчетного периода собираются и хранятся профили посетителей сайта Заказчика, после совершения пользователем конверсии выдается его историю в виде логов и отчёта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94B4308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 разработке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7576AB7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12BC443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42B58AD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Кластерный анализ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DF58931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306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ClusterAnalysis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Кластерный анализ – сбор аудитории по </w:t>
            </w:r>
            <w:proofErr w:type="gram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3-10</w:t>
            </w:r>
            <w:proofErr w:type="gram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кластерам интересов пользователей. Результат выдается в виде отчёта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xlsx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и сформированных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кастомных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сегментов (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трейтов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F9CD3F3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На странице DMP файл с Регламентом </w:t>
            </w:r>
            <w:hyperlink r:id="rId41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https://www.adriver.ru/dmp/legal/contract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E7BDF20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3D51B927" w14:textId="77777777" w:rsidTr="00706931">
        <w:trPr>
          <w:tblCellSpacing w:w="15" w:type="dxa"/>
        </w:trPr>
        <w:tc>
          <w:tcPr>
            <w:tcW w:w="9445" w:type="dxa"/>
            <w:gridSpan w:val="4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17151EED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ОТЧЕТЫ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05022BF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1D169E8F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338D6C0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42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Отчет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медийный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постклик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,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поствью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(шт.)</w:t>
              </w:r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</w:rPr>
                <w:br/>
              </w:r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Отчет видео стандартов VAST/VPAID/MRAID (шт.)</w:t>
              </w:r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</w:rPr>
                <w:br/>
              </w:r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Отчет верификации трафика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693457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201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MediaReport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C2004-2): Расширенный отчет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Excel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в стандартных шаблонах Системы (включая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PostClick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PostView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-шаблоны),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Расширенный отчет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Excel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по видео стандартов VAST/VPAID/MRAID,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Расширенный отчет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Excel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верификации трафика (аудита качества размещения рекламы) согласно стандартам IAB/MRC. Список отчетов: </w:t>
            </w:r>
            <w:hyperlink r:id="rId43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https://www.adriver.ru/agency/products/reporting/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4ADCA52C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44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2_201 MediaReport_2019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DB969A5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F3E2CA5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7CD8F99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45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Выгрузки статистики по аккаунту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40A842C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202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AccountTrafficADUpload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A2015-2): Предоставление серверной статистики по Базе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медиапланов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AdRiver (БМП). Хранение и выгрузка Метаданных статистики в течение отчетного периода. Предоставляются только совместно с услугами постоянного или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единоразового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аккаунтинга. Услуга для одного аккаунта Системы.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Периодичность выгрузки ежедневно, еженедельно, ежемесячно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527D708A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46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2_202 AccountTrafficADUpload_2019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31532EFB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12FD4322" w14:textId="77777777" w:rsidTr="00706931">
        <w:trPr>
          <w:gridAfter w:val="2"/>
          <w:wAfter w:w="4269" w:type="dxa"/>
          <w:tblCellSpacing w:w="15" w:type="dxa"/>
        </w:trPr>
        <w:tc>
          <w:tcPr>
            <w:tcW w:w="6995" w:type="dxa"/>
            <w:gridSpan w:val="3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6F43B17F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АККАУНТИНГ</w:t>
            </w:r>
          </w:p>
        </w:tc>
      </w:tr>
      <w:tr w:rsidR="00706931" w:rsidRPr="00706931" w14:paraId="5BA33827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9053BB5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47" w:history="1"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Аккаунтинг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единоразовый. Расчет за каждый Заказ.</w:t>
              </w:r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</w:rPr>
                <w:br/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Аккаунтинг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регулярный. Расчет ежемесячно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8D045C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401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Accounting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номенклатура A2015-4): Единоразовый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аккаунтинг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ведется для рекламных кампаний и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трекерных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сайтов Заказчика сотрудниками Исполнителя за один Заказ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Регулярный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аккаунтинг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ведется для рекламных кампаний и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трекерных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сайтов Заказчика сотрудниками Исполнителя, в течение отчетного периода (месяц)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910BD06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48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2_401 Accounting_2019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2308D22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408F040E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FAE121A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49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Коды </w:t>
              </w:r>
              <w:proofErr w:type="spellStart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исседователей</w:t>
              </w:r>
              <w:proofErr w:type="spellEnd"/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 xml:space="preserve"> без учета запросов к Системе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3F9326E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402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CampaignWithoutTraffic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номенклатура A2016-1): Предоставление комплекса работ по созданию объектов и получению кодов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исседователей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без учета запросов к Системе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A108EA3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0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2_402 CampaignWithoutTraffic_2019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283CD39D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670B0353" w14:textId="77777777" w:rsidTr="00706931">
        <w:trPr>
          <w:gridAfter w:val="2"/>
          <w:wAfter w:w="4269" w:type="dxa"/>
          <w:tblCellSpacing w:w="15" w:type="dxa"/>
        </w:trPr>
        <w:tc>
          <w:tcPr>
            <w:tcW w:w="6995" w:type="dxa"/>
            <w:gridSpan w:val="3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499B54A4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РАБОТА С БАННЕРАМИ</w:t>
            </w:r>
          </w:p>
        </w:tc>
      </w:tr>
      <w:tr w:rsidR="00706931" w:rsidRPr="00706931" w14:paraId="24FD5FA6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C8B68A3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51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Баннеры. Корректировка (шт.)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B39F4C0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403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BannerСorrection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(старая A2016-2): Адаптация, кодирование, исправление предоставленных баннеров,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отптимизация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размеров баннеров (в том числе и видео)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96F6B26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2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2_403 BannerСorrection_2019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26E8552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343BFC41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74B3A60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53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Баннеры. Прошивка html-баннера библиотекой viewability (шт.)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C0B2AE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403-2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BannerCorrectionPixelAV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Прошивка в html-баннер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counter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с </w:t>
            </w:r>
            <w:hyperlink r:id="rId54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библиотекой viewability</w:t>
              </w:r>
            </w:hyperlink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37991F9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5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2_403-2_BannerCorrectionPixelAV_2021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09E1BDD3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14BB9A4E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C4910B8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56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Баннеры. Создание нового шаблона (шт.)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A134B26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404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BannerTemplate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(старая A2016-3): Создание нового формата баннера, включая разработку новых скриптов для его демонстрации (в том числе и видео)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71369E49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7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2_404 BannerTemplate_2019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7633A2C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252AA3A1" w14:textId="77777777" w:rsidTr="00706931">
        <w:trPr>
          <w:tblCellSpacing w:w="15" w:type="dxa"/>
        </w:trPr>
        <w:tc>
          <w:tcPr>
            <w:tcW w:w="9445" w:type="dxa"/>
            <w:gridSpan w:val="4"/>
            <w:shd w:val="clear" w:color="auto" w:fill="EAEAEA"/>
            <w:tcMar>
              <w:top w:w="150" w:type="dxa"/>
              <w:left w:w="210" w:type="dxa"/>
              <w:bottom w:w="150" w:type="dxa"/>
              <w:right w:w="165" w:type="dxa"/>
            </w:tcMar>
            <w:vAlign w:val="center"/>
            <w:hideMark/>
          </w:tcPr>
          <w:p w14:paraId="7C1B6086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sz w:val="16"/>
                <w:szCs w:val="16"/>
              </w:rPr>
              <w:t>АНАЛИТИКА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152EBBE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5417AC6B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FD41587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Анализ логов единоразовый (шт.)</w:t>
            </w:r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64AC52B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405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LogsAnalysis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поиск и выявление аномального поведения кук, IP- адресов,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броузеров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, размещений.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Логи за период не более одного месяца и не более 10 размещений</w:t>
            </w:r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6D7AD67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 разработке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1C8276E3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7BF3290C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B3E696D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hyperlink r:id="rId58" w:history="1">
              <w:r w:rsidRPr="00706931">
                <w:rPr>
                  <w:rFonts w:eastAsia="Times New Roman" w:cstheme="minorHAnsi"/>
                  <w:b/>
                  <w:bCs/>
                  <w:color w:val="337AB7"/>
                  <w:sz w:val="16"/>
                  <w:szCs w:val="16"/>
                  <w:u w:val="single"/>
                </w:rPr>
                <w:t>Услуги Атрибуции</w:t>
              </w:r>
            </w:hyperlink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45F4B4C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406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Attribution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 Комплекс услуг Атрибуции: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1) установка сервиса,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2) сбор, хранение, обработка, импорт данных сайта Заказчика и/или медиаданных Заказчика,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3) модули атрибуции: атрибуция,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медиаинфлюенс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, прогноз, оптимизатор,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4) обновление данных и перерасчёт моделей,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5) обновление и поддержка визуализации данных,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6) аналитическое сопровождение,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7) отчетность.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Комплекс услуг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адсервинга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для атрибуции: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8) настройка и поддержка сбора данных о сессиях, конверсиях,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медийных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показах и кликах по рекламным кампаниям,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9) анализ и фильтрация событий сайта Заказчика по параметрам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Fraud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26D86E24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hyperlink r:id="rId59" w:history="1">
              <w:r w:rsidRPr="00706931">
                <w:rPr>
                  <w:rFonts w:eastAsia="Times New Roman" w:cstheme="minorHAnsi"/>
                  <w:color w:val="337AB7"/>
                  <w:sz w:val="16"/>
                  <w:szCs w:val="16"/>
                  <w:u w:val="single"/>
                </w:rPr>
                <w:t>На странице пункт 3. Правила обслуживания Услуги Атрибуция</w:t>
              </w:r>
            </w:hyperlink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58061226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706931" w:rsidRPr="00706931" w14:paraId="7F342BBA" w14:textId="77777777" w:rsidTr="0070693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3A7AAB1E" w14:textId="77777777" w:rsidR="00706931" w:rsidRPr="00706931" w:rsidRDefault="00706931" w:rsidP="00706931">
            <w:pPr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Услуги подключения данных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адсервинга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к системе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CyberBrain</w:t>
            </w:r>
            <w:proofErr w:type="spellEnd"/>
          </w:p>
        </w:tc>
        <w:tc>
          <w:tcPr>
            <w:tcW w:w="50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0F037E2F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proofErr w:type="gram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406-1</w:t>
            </w:r>
            <w:proofErr w:type="gram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Attribution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 xml:space="preserve"> </w:t>
            </w:r>
            <w:proofErr w:type="spellStart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Add</w:t>
            </w:r>
            <w:proofErr w:type="spellEnd"/>
            <w:r w:rsidRPr="00706931">
              <w:rPr>
                <w:rFonts w:eastAsia="Times New Roman" w:cstheme="minorHAnsi"/>
                <w:b/>
                <w:bCs/>
                <w:color w:val="494949"/>
                <w:sz w:val="16"/>
                <w:szCs w:val="16"/>
              </w:rPr>
              <w:t>.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 Комплекс услуг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адсервинга</w:t>
            </w:r>
            <w:proofErr w:type="spellEnd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 xml:space="preserve"> для атрибуции: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>1) сбор, хранение, обработка, преобразование, импорт данных сайта Заказчика и/или медиаданных Заказчика в систему атрибуции</w:t>
            </w: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br/>
              <w:t xml:space="preserve">2) анализ и фильтрация событий сайта Заказчика по параметрам </w:t>
            </w:r>
            <w:proofErr w:type="spellStart"/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Fraud</w:t>
            </w:r>
            <w:proofErr w:type="spellEnd"/>
          </w:p>
        </w:tc>
        <w:tc>
          <w:tcPr>
            <w:tcW w:w="24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210" w:type="dxa"/>
              <w:bottom w:w="150" w:type="dxa"/>
              <w:right w:w="165" w:type="dxa"/>
            </w:tcMar>
            <w:vAlign w:val="bottom"/>
            <w:hideMark/>
          </w:tcPr>
          <w:p w14:paraId="140C9437" w14:textId="77777777" w:rsidR="00706931" w:rsidRPr="00706931" w:rsidRDefault="00706931" w:rsidP="00706931">
            <w:pPr>
              <w:rPr>
                <w:rFonts w:eastAsia="Times New Roman" w:cstheme="minorHAnsi"/>
                <w:color w:val="494949"/>
                <w:sz w:val="16"/>
                <w:szCs w:val="16"/>
              </w:rPr>
            </w:pPr>
            <w:r w:rsidRPr="00706931">
              <w:rPr>
                <w:rFonts w:eastAsia="Times New Roman" w:cstheme="minorHAnsi"/>
                <w:color w:val="494949"/>
                <w:sz w:val="16"/>
                <w:szCs w:val="16"/>
              </w:rPr>
              <w:t>В разработке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14:paraId="419EABDE" w14:textId="77777777" w:rsidR="00706931" w:rsidRPr="00706931" w:rsidRDefault="00706931" w:rsidP="00706931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0F7E74BC" w14:textId="77777777" w:rsidR="00706931" w:rsidRPr="00706931" w:rsidRDefault="00706931" w:rsidP="00706931">
      <w:pPr>
        <w:rPr>
          <w:rFonts w:eastAsia="Times New Roman" w:cstheme="minorHAnsi"/>
          <w:color w:val="494949"/>
          <w:sz w:val="16"/>
          <w:szCs w:val="16"/>
        </w:rPr>
      </w:pPr>
      <w:r w:rsidRPr="00706931">
        <w:rPr>
          <w:rFonts w:eastAsia="Times New Roman" w:cstheme="minorHAnsi"/>
          <w:color w:val="494949"/>
          <w:sz w:val="16"/>
          <w:szCs w:val="16"/>
        </w:rPr>
        <w:t>Предыдущая версия Регламента: </w:t>
      </w:r>
      <w:hyperlink r:id="rId60" w:history="1">
        <w:r w:rsidRPr="00706931">
          <w:rPr>
            <w:rFonts w:eastAsia="Times New Roman" w:cstheme="minorHAnsi"/>
            <w:color w:val="337AB7"/>
            <w:sz w:val="16"/>
            <w:szCs w:val="16"/>
            <w:u w:val="single"/>
          </w:rPr>
          <w:t>Регламент оказания услуг_весь_2019</w:t>
        </w:r>
      </w:hyperlink>
    </w:p>
    <w:sectPr w:rsidR="00706931" w:rsidRPr="00706931" w:rsidSect="00706931">
      <w:pgSz w:w="13220" w:h="1870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492"/>
    <w:multiLevelType w:val="multilevel"/>
    <w:tmpl w:val="AF7C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91FCA"/>
    <w:multiLevelType w:val="multilevel"/>
    <w:tmpl w:val="791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C6202"/>
    <w:multiLevelType w:val="multilevel"/>
    <w:tmpl w:val="8754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1"/>
    <w:rsid w:val="004D593B"/>
    <w:rsid w:val="005E6A1B"/>
    <w:rsid w:val="00706931"/>
    <w:rsid w:val="00AF07CA"/>
    <w:rsid w:val="00D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F7519"/>
  <w15:chartTrackingRefBased/>
  <w15:docId w15:val="{BA8E0CA5-B560-3D48-93C8-0ADA2A6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9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69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706931"/>
    <w:rPr>
      <w:b/>
      <w:bCs/>
    </w:rPr>
  </w:style>
  <w:style w:type="character" w:styleId="a5">
    <w:name w:val="Hyperlink"/>
    <w:basedOn w:val="a0"/>
    <w:uiPriority w:val="99"/>
    <w:semiHidden/>
    <w:unhideWhenUsed/>
    <w:rsid w:val="00706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5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86960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8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418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9164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3" w:color="D3D3D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river.ru/agency/products/audit-verifications/" TargetMode="External"/><Relationship Id="rId18" Type="http://schemas.openxmlformats.org/officeDocument/2006/relationships/hyperlink" Target="https://www.adriver.ru/wp-content/uploads/2020/06/2_103-1-ViewabilityGIVTAdserving_2019.docx" TargetMode="External"/><Relationship Id="rId26" Type="http://schemas.openxmlformats.org/officeDocument/2006/relationships/hyperlink" Target="https://www.adriver.ru/dmp/legal/contract" TargetMode="External"/><Relationship Id="rId39" Type="http://schemas.openxmlformats.org/officeDocument/2006/relationships/hyperlink" Target="https://www.adriver.ru/dmp/legal/contract" TargetMode="External"/><Relationship Id="rId21" Type="http://schemas.openxmlformats.org/officeDocument/2006/relationships/hyperlink" Target="https://www.adriver.ru/dmp/legal/contract" TargetMode="External"/><Relationship Id="rId34" Type="http://schemas.openxmlformats.org/officeDocument/2006/relationships/hyperlink" Target="https://www.adriver.ru/agency/legal/services/remarketing/" TargetMode="External"/><Relationship Id="rId42" Type="http://schemas.openxmlformats.org/officeDocument/2006/relationships/hyperlink" Target="https://www.adriver.ru/agency/products/reporting/" TargetMode="External"/><Relationship Id="rId47" Type="http://schemas.openxmlformats.org/officeDocument/2006/relationships/hyperlink" Target="https://www.adriver.ru/agency/legal/services/accounting-base/" TargetMode="External"/><Relationship Id="rId50" Type="http://schemas.openxmlformats.org/officeDocument/2006/relationships/hyperlink" Target="https://www.adriver.ru/wp-content/uploads/2020/06/2_402-CampaignWithoutTraffic_2019.docx" TargetMode="External"/><Relationship Id="rId55" Type="http://schemas.openxmlformats.org/officeDocument/2006/relationships/hyperlink" Target="https://www.adriver.ru/wp-content/uploads/2021/12/403-2_BannerCorrectionPixelAV_20212207.docx" TargetMode="External"/><Relationship Id="rId7" Type="http://schemas.openxmlformats.org/officeDocument/2006/relationships/hyperlink" Target="https://www.adriver.ru/agency/legal/services/adserv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river.ru/wp-content/uploads/2020/06/2_103-1-ViewabilityGIVTAdserving_2019.docx" TargetMode="External"/><Relationship Id="rId29" Type="http://schemas.openxmlformats.org/officeDocument/2006/relationships/hyperlink" Target="https://www.adriver.ru/dmp/legal/contract" TargetMode="External"/><Relationship Id="rId11" Type="http://schemas.openxmlformats.org/officeDocument/2006/relationships/hyperlink" Target="https://www.adriver.ru/wp-content/uploads/2020/06/2_103-1-ViewabilityGIVTAdserving_2019.docx" TargetMode="External"/><Relationship Id="rId24" Type="http://schemas.openxmlformats.org/officeDocument/2006/relationships/hyperlink" Target="https://www.adriver.ru/agency/products/panel-integration/" TargetMode="External"/><Relationship Id="rId32" Type="http://schemas.openxmlformats.org/officeDocument/2006/relationships/hyperlink" Target="https://www.adriver.ru/dmp/legal/contract" TargetMode="External"/><Relationship Id="rId37" Type="http://schemas.openxmlformats.org/officeDocument/2006/relationships/hyperlink" Target="https://www.adriver.ru/dmp/legal/contract" TargetMode="External"/><Relationship Id="rId40" Type="http://schemas.openxmlformats.org/officeDocument/2006/relationships/hyperlink" Target="https://www.adriver.ru/dmp/legal/contract" TargetMode="External"/><Relationship Id="rId45" Type="http://schemas.openxmlformats.org/officeDocument/2006/relationships/hyperlink" Target="https://www.adriver.ru/agency/legal/services/upload-base/" TargetMode="External"/><Relationship Id="rId53" Type="http://schemas.openxmlformats.org/officeDocument/2006/relationships/hyperlink" Target="https://www.adriver.ru/agency/legal/services/correction/" TargetMode="External"/><Relationship Id="rId58" Type="http://schemas.openxmlformats.org/officeDocument/2006/relationships/hyperlink" Target="https://www.adriver.ru/agency/products/attribution" TargetMode="External"/><Relationship Id="rId5" Type="http://schemas.openxmlformats.org/officeDocument/2006/relationships/hyperlink" Target="https://www.adriver.ru/wp-content/uploads/2020/06/1_%D0%9E%D0%B1%D1%89%D0%B8%D0%B5_%D0%BF%D0%BE%D0%BB%D0%BE%D0%B6%D0%B5%D0%BD%D0%B8%D1%8F_2019.docx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adriver.ru/agency/legal/services/vast-hosting/" TargetMode="External"/><Relationship Id="rId14" Type="http://schemas.openxmlformats.org/officeDocument/2006/relationships/hyperlink" Target="https://www.adriver.ru/wp-content/uploads/2020/06/2_103-1-ViewabilityGIVTAdserving_2019.docx" TargetMode="External"/><Relationship Id="rId22" Type="http://schemas.openxmlformats.org/officeDocument/2006/relationships/hyperlink" Target="https://www.adriver.ru/dmp/legal/contract" TargetMode="External"/><Relationship Id="rId27" Type="http://schemas.openxmlformats.org/officeDocument/2006/relationships/hyperlink" Target="http://adriver.ru/agency/legal/services/export/" TargetMode="External"/><Relationship Id="rId30" Type="http://schemas.openxmlformats.org/officeDocument/2006/relationships/hyperlink" Target="http://adriver.ru/agency/legal/services/export/" TargetMode="External"/><Relationship Id="rId35" Type="http://schemas.openxmlformats.org/officeDocument/2006/relationships/hyperlink" Target="https://www.adriver.ru/dmp/legal/contract" TargetMode="External"/><Relationship Id="rId43" Type="http://schemas.openxmlformats.org/officeDocument/2006/relationships/hyperlink" Target="https://www.adriver.ru/agency/products/reporting/" TargetMode="External"/><Relationship Id="rId48" Type="http://schemas.openxmlformats.org/officeDocument/2006/relationships/hyperlink" Target="https://www.adriver.ru/wp-content/uploads/2020/06/2_401-Accounting_2019.docx" TargetMode="External"/><Relationship Id="rId56" Type="http://schemas.openxmlformats.org/officeDocument/2006/relationships/hyperlink" Target="https://www.adriver.ru/agency/legal/services/new-format/" TargetMode="External"/><Relationship Id="rId8" Type="http://schemas.openxmlformats.org/officeDocument/2006/relationships/hyperlink" Target="https://www.adriver.ru/wp-content/uploads/2020/06/2_101-Adserving_2019.docx" TargetMode="External"/><Relationship Id="rId51" Type="http://schemas.openxmlformats.org/officeDocument/2006/relationships/hyperlink" Target="https://www.adriver.ru/agency/legal/services/correcti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driver.ru/agency/legal/services/verifications/" TargetMode="External"/><Relationship Id="rId17" Type="http://schemas.openxmlformats.org/officeDocument/2006/relationships/hyperlink" Target="https://www.adriver.ru/agency/legal/services/verifications/" TargetMode="External"/><Relationship Id="rId25" Type="http://schemas.openxmlformats.org/officeDocument/2006/relationships/hyperlink" Target="https://www.adriver.ru/agency/legal/services/sync/" TargetMode="External"/><Relationship Id="rId33" Type="http://schemas.openxmlformats.org/officeDocument/2006/relationships/hyperlink" Target="https://www.adriver.ru/agency/legal/services/remarketing/" TargetMode="External"/><Relationship Id="rId38" Type="http://schemas.openxmlformats.org/officeDocument/2006/relationships/hyperlink" Target="https://www.adriver.ru/dmp/legal/contract" TargetMode="External"/><Relationship Id="rId46" Type="http://schemas.openxmlformats.org/officeDocument/2006/relationships/hyperlink" Target="https://www.adriver.ru/wp-content/uploads/2020/06/2_202-AccountTrafficADUpload_2019.docx" TargetMode="External"/><Relationship Id="rId59" Type="http://schemas.openxmlformats.org/officeDocument/2006/relationships/hyperlink" Target="https://www.adriver.ru/agency/products/attribution" TargetMode="External"/><Relationship Id="rId20" Type="http://schemas.openxmlformats.org/officeDocument/2006/relationships/hyperlink" Target="https://www.adriver.ru/wp-content/uploads/2020/06/2_105-VideoTrafficHosting_2019.docx" TargetMode="External"/><Relationship Id="rId41" Type="http://schemas.openxmlformats.org/officeDocument/2006/relationships/hyperlink" Target="https://www.adriver.ru/dmp/legal/contract" TargetMode="External"/><Relationship Id="rId54" Type="http://schemas.openxmlformats.org/officeDocument/2006/relationships/hyperlink" Target="https://www.adriver.ru/doc/audit/adriver-counters/viewability-counter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driver.ru/wp-content/uploads/2020/06/3_%D0%A2%D0%B5%D1%85%D0%BD%D0%B8%D1%87%D0%B5%D1%81%D0%BA%D0%B0%D1%8F_%D1%81%D0%BF%D0%B5%D1%86%D0%B8%D1%84%D0%B8%D0%BA%D0%B0%D1%86%D0%B8%D1%8F_2019.docx" TargetMode="External"/><Relationship Id="rId15" Type="http://schemas.openxmlformats.org/officeDocument/2006/relationships/hyperlink" Target="https://www.adriver.ru/agency/legal/services/verifications/" TargetMode="External"/><Relationship Id="rId23" Type="http://schemas.openxmlformats.org/officeDocument/2006/relationships/hyperlink" Target="https://www.adriver.ru/agency/legal/services/sync/" TargetMode="External"/><Relationship Id="rId28" Type="http://schemas.openxmlformats.org/officeDocument/2006/relationships/hyperlink" Target="http://adriver.ru/agency/legal/services/export/" TargetMode="External"/><Relationship Id="rId36" Type="http://schemas.openxmlformats.org/officeDocument/2006/relationships/hyperlink" Target="https://www.adriver.ru/agency/legal/services/remarketing/" TargetMode="External"/><Relationship Id="rId49" Type="http://schemas.openxmlformats.org/officeDocument/2006/relationships/hyperlink" Target="https://www.adriver.ru/agency/legal/services/research/" TargetMode="External"/><Relationship Id="rId57" Type="http://schemas.openxmlformats.org/officeDocument/2006/relationships/hyperlink" Target="https://www.adriver.ru/wp-content/uploads/2020/06/2_404-BannerTemplate_2019.docx" TargetMode="External"/><Relationship Id="rId10" Type="http://schemas.openxmlformats.org/officeDocument/2006/relationships/hyperlink" Target="https://www.adriver.ru/agency/products/audit-verifications/" TargetMode="External"/><Relationship Id="rId31" Type="http://schemas.openxmlformats.org/officeDocument/2006/relationships/hyperlink" Target="http://adriver.ru/agency/legal/services/export/" TargetMode="External"/><Relationship Id="rId44" Type="http://schemas.openxmlformats.org/officeDocument/2006/relationships/hyperlink" Target="https://www.adriver.ru/wp-content/uploads/2020/06/2_201-MediaReport_2019.docx" TargetMode="External"/><Relationship Id="rId52" Type="http://schemas.openxmlformats.org/officeDocument/2006/relationships/hyperlink" Target="https://www.adriver.ru/wp-content/uploads/2020/06/2_403-Banner%D0%A1orrection_2019.docx" TargetMode="External"/><Relationship Id="rId60" Type="http://schemas.openxmlformats.org/officeDocument/2006/relationships/hyperlink" Target="https://www.adriver.ru/wp-content/uploads/2020/06/%D0%A0%D0%B5%D0%B3%D0%BB%D0%B0%D0%BC%D0%B5%D0%BD%D1%82-%D0%BE%D0%BA%D0%B0%D0%B7%D0%B0%D0%BD%D0%B8%D1%8F-%D1%83%D1%81%D0%BB%D1%83%D0%B3_%D0%B2%D0%B5%D1%81%D1%8C_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river.ru/agency/legal/services/ver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2268</Words>
  <Characters>12929</Characters>
  <Application>Microsoft Office Word</Application>
  <DocSecurity>0</DocSecurity>
  <Lines>107</Lines>
  <Paragraphs>30</Paragraphs>
  <ScaleCrop>false</ScaleCrop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Бульеннова Юлия</dc:creator>
  <cp:keywords/>
  <dc:description/>
  <cp:lastModifiedBy>Бульеннова Юлия</cp:lastModifiedBy>
  <cp:revision>1</cp:revision>
  <dcterms:created xsi:type="dcterms:W3CDTF">2023-05-12T06:50:00Z</dcterms:created>
  <dcterms:modified xsi:type="dcterms:W3CDTF">2023-05-12T06:54:00Z</dcterms:modified>
</cp:coreProperties>
</file>